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0F" w:rsidRPr="0018190F" w:rsidRDefault="0018190F" w:rsidP="0018190F">
      <w:pPr>
        <w:pStyle w:val="NoSpacing"/>
        <w:rPr>
          <w:b/>
        </w:rPr>
      </w:pPr>
      <w:bookmarkStart w:id="0" w:name="_GoBack"/>
      <w:bookmarkEnd w:id="0"/>
      <w:r w:rsidRPr="0018190F">
        <w:rPr>
          <w:b/>
        </w:rPr>
        <w:t>Proposed Scope &amp; Sequence</w:t>
      </w:r>
      <w:r>
        <w:rPr>
          <w:b/>
        </w:rPr>
        <w:t>: BC Redesigned Curriculum</w:t>
      </w:r>
    </w:p>
    <w:p w:rsidR="0018190F" w:rsidRPr="0018190F" w:rsidRDefault="00193995" w:rsidP="0018190F">
      <w:pPr>
        <w:pStyle w:val="NoSpacing"/>
        <w:rPr>
          <w:b/>
        </w:rPr>
      </w:pPr>
      <w:r>
        <w:rPr>
          <w:b/>
        </w:rPr>
        <w:t xml:space="preserve">Subject:   </w:t>
      </w:r>
      <w:r w:rsidR="006829F3">
        <w:rPr>
          <w:b/>
        </w:rPr>
        <w:t>Math</w:t>
      </w:r>
      <w:r w:rsidR="004E0A86">
        <w:rPr>
          <w:b/>
        </w:rPr>
        <w:t xml:space="preserve"> – Big Ideas</w:t>
      </w:r>
    </w:p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1550"/>
        <w:gridCol w:w="1686"/>
        <w:gridCol w:w="1743"/>
        <w:gridCol w:w="1633"/>
        <w:gridCol w:w="1633"/>
        <w:gridCol w:w="1633"/>
        <w:gridCol w:w="1745"/>
        <w:gridCol w:w="1627"/>
        <w:gridCol w:w="1635"/>
      </w:tblGrid>
      <w:tr w:rsidR="00E1449D" w:rsidTr="000343B9">
        <w:tc>
          <w:tcPr>
            <w:tcW w:w="1408" w:type="dxa"/>
          </w:tcPr>
          <w:p w:rsidR="0018190F" w:rsidRDefault="0018190F">
            <w:r>
              <w:t>Domain</w:t>
            </w:r>
          </w:p>
        </w:tc>
        <w:tc>
          <w:tcPr>
            <w:tcW w:w="1666" w:type="dxa"/>
          </w:tcPr>
          <w:p w:rsidR="0018190F" w:rsidRDefault="0018190F" w:rsidP="0018190F">
            <w:pPr>
              <w:jc w:val="center"/>
            </w:pPr>
            <w:r>
              <w:t xml:space="preserve">Kindergarten/ </w:t>
            </w:r>
            <w:proofErr w:type="spellStart"/>
            <w:r>
              <w:t>Maternelle</w:t>
            </w:r>
            <w:proofErr w:type="spellEnd"/>
          </w:p>
        </w:tc>
        <w:tc>
          <w:tcPr>
            <w:tcW w:w="1791" w:type="dxa"/>
          </w:tcPr>
          <w:p w:rsidR="0018190F" w:rsidRDefault="0018190F" w:rsidP="0018190F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18190F" w:rsidRDefault="0018190F" w:rsidP="0018190F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18190F" w:rsidRDefault="0018190F" w:rsidP="0018190F">
            <w:pPr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18190F" w:rsidRDefault="0018190F" w:rsidP="0018190F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18190F" w:rsidRDefault="0018190F" w:rsidP="0018190F">
            <w:pPr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18190F" w:rsidRDefault="0018190F" w:rsidP="0018190F">
            <w:pPr>
              <w:jc w:val="center"/>
            </w:pPr>
            <w:r>
              <w:t>6</w:t>
            </w:r>
          </w:p>
        </w:tc>
        <w:tc>
          <w:tcPr>
            <w:tcW w:w="1809" w:type="dxa"/>
          </w:tcPr>
          <w:p w:rsidR="0018190F" w:rsidRDefault="0018190F" w:rsidP="0018190F">
            <w:pPr>
              <w:jc w:val="center"/>
            </w:pPr>
            <w:r>
              <w:t>7</w:t>
            </w:r>
          </w:p>
        </w:tc>
      </w:tr>
      <w:tr w:rsidR="00E1449D" w:rsidTr="000343B9">
        <w:tc>
          <w:tcPr>
            <w:tcW w:w="1408" w:type="dxa"/>
          </w:tcPr>
          <w:p w:rsidR="0018190F" w:rsidRDefault="0018190F"/>
          <w:p w:rsidR="0018190F" w:rsidRDefault="0018190F"/>
          <w:p w:rsidR="0018190F" w:rsidRDefault="0018190F"/>
          <w:p w:rsidR="0018190F" w:rsidRDefault="008A6A1A">
            <w:r>
              <w:t>N</w:t>
            </w:r>
            <w:r w:rsidR="00E02B8E">
              <w:t xml:space="preserve">umber representation </w:t>
            </w:r>
          </w:p>
          <w:p w:rsidR="0018190F" w:rsidRDefault="0018190F"/>
          <w:p w:rsidR="0018190F" w:rsidRDefault="0018190F"/>
        </w:tc>
        <w:tc>
          <w:tcPr>
            <w:tcW w:w="1666" w:type="dxa"/>
          </w:tcPr>
          <w:p w:rsidR="0018190F" w:rsidRDefault="006829F3">
            <w:r w:rsidRPr="006829F3">
              <w:t xml:space="preserve">Number represents and describes quantity: </w:t>
            </w:r>
            <w:r w:rsidRPr="0033533B">
              <w:rPr>
                <w:b/>
              </w:rPr>
              <w:t>Quantities can be decomposed into smaller parts.</w:t>
            </w:r>
          </w:p>
        </w:tc>
        <w:tc>
          <w:tcPr>
            <w:tcW w:w="1791" w:type="dxa"/>
          </w:tcPr>
          <w:p w:rsidR="0018190F" w:rsidRDefault="006829F3">
            <w:r w:rsidRPr="006829F3">
              <w:t xml:space="preserve">Number represents and describes quantity: </w:t>
            </w:r>
            <w:r w:rsidRPr="0033533B">
              <w:rPr>
                <w:b/>
              </w:rPr>
              <w:t>Numbers to 20 can be decomposed into 10’s and 1’s.</w:t>
            </w:r>
          </w:p>
        </w:tc>
        <w:tc>
          <w:tcPr>
            <w:tcW w:w="1670" w:type="dxa"/>
          </w:tcPr>
          <w:p w:rsidR="0018190F" w:rsidRDefault="000343B9">
            <w:r w:rsidRPr="000343B9">
              <w:t xml:space="preserve">Number represents and describes quantity: </w:t>
            </w:r>
            <w:r w:rsidRPr="0033533B">
              <w:rPr>
                <w:b/>
              </w:rPr>
              <w:t>Numbers to 100 can be decomposed into 10’s and 1’s.</w:t>
            </w:r>
          </w:p>
        </w:tc>
        <w:tc>
          <w:tcPr>
            <w:tcW w:w="1670" w:type="dxa"/>
          </w:tcPr>
          <w:p w:rsidR="0018190F" w:rsidRDefault="00BA1686">
            <w:r w:rsidRPr="00BA1686">
              <w:t xml:space="preserve">Number represents and describes quantity: </w:t>
            </w:r>
            <w:r w:rsidRPr="0033533B">
              <w:rPr>
                <w:b/>
              </w:rPr>
              <w:t>Parts of wholes can be represented by fractions.</w:t>
            </w:r>
          </w:p>
        </w:tc>
        <w:tc>
          <w:tcPr>
            <w:tcW w:w="1670" w:type="dxa"/>
          </w:tcPr>
          <w:p w:rsidR="0018190F" w:rsidRDefault="00254DF6">
            <w:r w:rsidRPr="00254DF6">
              <w:t xml:space="preserve">Number represents and describes quantity: </w:t>
            </w:r>
            <w:r w:rsidRPr="0033533B">
              <w:rPr>
                <w:b/>
              </w:rPr>
              <w:t>Parts of wholes can be represented by fractions and decimals.</w:t>
            </w:r>
          </w:p>
        </w:tc>
        <w:tc>
          <w:tcPr>
            <w:tcW w:w="1670" w:type="dxa"/>
          </w:tcPr>
          <w:p w:rsidR="0018190F" w:rsidRDefault="002229FB">
            <w:r w:rsidRPr="002229FB">
              <w:t xml:space="preserve">Number represents and describes quantity: </w:t>
            </w:r>
            <w:r w:rsidRPr="002229FB">
              <w:rPr>
                <w:b/>
              </w:rPr>
              <w:t>Parts of wholes can be represented by equivalent fractions.</w:t>
            </w:r>
          </w:p>
        </w:tc>
        <w:tc>
          <w:tcPr>
            <w:tcW w:w="1531" w:type="dxa"/>
          </w:tcPr>
          <w:p w:rsidR="0018190F" w:rsidRDefault="005401BB">
            <w:r w:rsidRPr="005401BB">
              <w:t>Numbers can be represented in many forms and reflect different relationships.</w:t>
            </w:r>
          </w:p>
        </w:tc>
        <w:tc>
          <w:tcPr>
            <w:tcW w:w="1809" w:type="dxa"/>
          </w:tcPr>
          <w:p w:rsidR="0018190F" w:rsidRDefault="005401BB" w:rsidP="000343B9">
            <w:r w:rsidRPr="005401BB">
              <w:t>Numbers can be represented in many forms and reflect different relationships.</w:t>
            </w:r>
          </w:p>
        </w:tc>
      </w:tr>
      <w:tr w:rsidR="00E1449D" w:rsidTr="000343B9">
        <w:tc>
          <w:tcPr>
            <w:tcW w:w="1408" w:type="dxa"/>
          </w:tcPr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985580" w:rsidRDefault="00985580">
            <w:r>
              <w:t>Number Sense &amp;</w:t>
            </w:r>
          </w:p>
          <w:p w:rsidR="0018190F" w:rsidRDefault="00985580">
            <w:r>
              <w:t>Operations</w:t>
            </w:r>
          </w:p>
        </w:tc>
        <w:tc>
          <w:tcPr>
            <w:tcW w:w="1666" w:type="dxa"/>
          </w:tcPr>
          <w:p w:rsidR="0018190F" w:rsidRDefault="006829F3">
            <w:r w:rsidRPr="006829F3">
              <w:t xml:space="preserve">Developing computational fluency comes from a strong sense of number: </w:t>
            </w:r>
            <w:r w:rsidRPr="0033533B">
              <w:rPr>
                <w:b/>
              </w:rPr>
              <w:t>One-to-one correspondence and a sense of 5 and 10 are essential for working with numbers.</w:t>
            </w:r>
          </w:p>
        </w:tc>
        <w:tc>
          <w:tcPr>
            <w:tcW w:w="1791" w:type="dxa"/>
          </w:tcPr>
          <w:p w:rsidR="0018190F" w:rsidRDefault="006829F3">
            <w:r w:rsidRPr="006829F3">
              <w:t xml:space="preserve">Developing computational fluency comes from a strong sense of number: </w:t>
            </w:r>
            <w:r w:rsidRPr="0033533B">
              <w:rPr>
                <w:b/>
              </w:rPr>
              <w:t>Addition and subtraction can be modelled concretely, pictorially, and mentally, using strategies involving counting and making 10.</w:t>
            </w:r>
          </w:p>
        </w:tc>
        <w:tc>
          <w:tcPr>
            <w:tcW w:w="1670" w:type="dxa"/>
          </w:tcPr>
          <w:p w:rsidR="0018190F" w:rsidRDefault="000343B9">
            <w:r w:rsidRPr="000343B9">
              <w:t xml:space="preserve">Developing computational fluency comes from a strong sense of number: </w:t>
            </w:r>
            <w:r w:rsidRPr="0033533B">
              <w:rPr>
                <w:b/>
              </w:rPr>
              <w:t>Fluency in addition and subtraction with numbers to 100 requires understanding of place value and mental math strategies.</w:t>
            </w:r>
          </w:p>
        </w:tc>
        <w:tc>
          <w:tcPr>
            <w:tcW w:w="1670" w:type="dxa"/>
          </w:tcPr>
          <w:p w:rsidR="0018190F" w:rsidRDefault="00BA1686">
            <w:r w:rsidRPr="00BA1686">
              <w:t xml:space="preserve">Developing computational fluency comes from a strong sense of number: </w:t>
            </w:r>
            <w:r w:rsidRPr="0033533B">
              <w:rPr>
                <w:b/>
              </w:rPr>
              <w:t>Flexible decomposing and composing are used when adding, subtracting, multiplying, and dividing whole numbers.</w:t>
            </w:r>
          </w:p>
        </w:tc>
        <w:tc>
          <w:tcPr>
            <w:tcW w:w="1670" w:type="dxa"/>
          </w:tcPr>
          <w:p w:rsidR="0018190F" w:rsidRDefault="0033533B">
            <w:r w:rsidRPr="0033533B">
              <w:t xml:space="preserve">Developing computational fluency comes from a strong sense of number: </w:t>
            </w:r>
            <w:r w:rsidRPr="0033533B">
              <w:rPr>
                <w:b/>
              </w:rPr>
              <w:t>Patterns and relations within multiplication and division develop multiplicative thinking.</w:t>
            </w:r>
          </w:p>
        </w:tc>
        <w:tc>
          <w:tcPr>
            <w:tcW w:w="1670" w:type="dxa"/>
          </w:tcPr>
          <w:p w:rsidR="0018190F" w:rsidRDefault="002229FB">
            <w:r w:rsidRPr="002229FB">
              <w:t xml:space="preserve">Developing computational fluency comes from a strong sense of number: </w:t>
            </w:r>
            <w:r w:rsidRPr="002229FB">
              <w:rPr>
                <w:b/>
              </w:rPr>
              <w:t>Flexibility in working with numbers extends to operations with larger (multi-digit) numbers.</w:t>
            </w:r>
          </w:p>
        </w:tc>
        <w:tc>
          <w:tcPr>
            <w:tcW w:w="1531" w:type="dxa"/>
          </w:tcPr>
          <w:p w:rsidR="0018190F" w:rsidRDefault="005401BB">
            <w:r w:rsidRPr="005401BB">
              <w:t>Numeracy helps us to see patterns, communicate ideas, and solve problems.</w:t>
            </w:r>
          </w:p>
        </w:tc>
        <w:tc>
          <w:tcPr>
            <w:tcW w:w="1809" w:type="dxa"/>
          </w:tcPr>
          <w:p w:rsidR="0018190F" w:rsidRDefault="005401BB" w:rsidP="000343B9">
            <w:r w:rsidRPr="005401BB">
              <w:t>Numeracy helps us to see patterns, communicate ideas, and solve problems.</w:t>
            </w:r>
          </w:p>
        </w:tc>
      </w:tr>
      <w:tr w:rsidR="00E1449D" w:rsidTr="000343B9">
        <w:tc>
          <w:tcPr>
            <w:tcW w:w="1408" w:type="dxa"/>
          </w:tcPr>
          <w:p w:rsidR="0018190F" w:rsidRDefault="0018190F"/>
          <w:p w:rsidR="0018190F" w:rsidRDefault="0018190F"/>
          <w:p w:rsidR="0018190F" w:rsidRDefault="008A6A1A">
            <w:r>
              <w:t>Patterns</w:t>
            </w:r>
          </w:p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666" w:type="dxa"/>
          </w:tcPr>
          <w:p w:rsidR="0018190F" w:rsidRDefault="006829F3">
            <w:r w:rsidRPr="006829F3">
              <w:lastRenderedPageBreak/>
              <w:t xml:space="preserve">We use patterns to represent identified regularities and </w:t>
            </w:r>
            <w:r w:rsidRPr="006829F3">
              <w:lastRenderedPageBreak/>
              <w:t xml:space="preserve">to form generalizations: </w:t>
            </w:r>
            <w:r w:rsidRPr="0033533B">
              <w:rPr>
                <w:b/>
              </w:rPr>
              <w:t>Repeating elements can be identified.</w:t>
            </w:r>
          </w:p>
        </w:tc>
        <w:tc>
          <w:tcPr>
            <w:tcW w:w="1791" w:type="dxa"/>
          </w:tcPr>
          <w:p w:rsidR="0018190F" w:rsidRDefault="000343B9">
            <w:r w:rsidRPr="000343B9">
              <w:lastRenderedPageBreak/>
              <w:t xml:space="preserve">We use patterns to represent identified regularities and to form </w:t>
            </w:r>
            <w:r w:rsidRPr="000343B9">
              <w:lastRenderedPageBreak/>
              <w:t xml:space="preserve">generalizations: </w:t>
            </w:r>
            <w:r w:rsidRPr="0033533B">
              <w:rPr>
                <w:b/>
              </w:rPr>
              <w:t>Repeating elements can be identified.</w:t>
            </w:r>
          </w:p>
        </w:tc>
        <w:tc>
          <w:tcPr>
            <w:tcW w:w="1670" w:type="dxa"/>
          </w:tcPr>
          <w:p w:rsidR="0018190F" w:rsidRDefault="00BA1686">
            <w:r w:rsidRPr="00BA1686">
              <w:lastRenderedPageBreak/>
              <w:t xml:space="preserve">We use patterns to represent identified regularities and </w:t>
            </w:r>
            <w:r w:rsidRPr="00BA1686">
              <w:lastRenderedPageBreak/>
              <w:t xml:space="preserve">to form generalizations: </w:t>
            </w:r>
            <w:r w:rsidRPr="0033533B">
              <w:rPr>
                <w:b/>
              </w:rPr>
              <w:t>The regular change in increasing patterns can be identified.</w:t>
            </w:r>
          </w:p>
        </w:tc>
        <w:tc>
          <w:tcPr>
            <w:tcW w:w="1670" w:type="dxa"/>
          </w:tcPr>
          <w:p w:rsidR="0018190F" w:rsidRDefault="00BA1686">
            <w:r w:rsidRPr="00BA1686">
              <w:lastRenderedPageBreak/>
              <w:t xml:space="preserve">We use patterns to represent identified regularities and </w:t>
            </w:r>
            <w:r w:rsidRPr="00BA1686">
              <w:lastRenderedPageBreak/>
              <w:t xml:space="preserve">to form generalizations: </w:t>
            </w:r>
            <w:r w:rsidRPr="0033533B">
              <w:rPr>
                <w:b/>
              </w:rPr>
              <w:t>The regular change in increasing and decreasing patterns can be identified.</w:t>
            </w:r>
          </w:p>
        </w:tc>
        <w:tc>
          <w:tcPr>
            <w:tcW w:w="1670" w:type="dxa"/>
          </w:tcPr>
          <w:p w:rsidR="0018190F" w:rsidRDefault="0033533B">
            <w:r w:rsidRPr="0033533B">
              <w:lastRenderedPageBreak/>
              <w:t xml:space="preserve">We use patterns to represent identified regularities and </w:t>
            </w:r>
            <w:r w:rsidRPr="0033533B">
              <w:lastRenderedPageBreak/>
              <w:t xml:space="preserve">to form generalizations: </w:t>
            </w:r>
            <w:r w:rsidRPr="0033533B">
              <w:rPr>
                <w:b/>
              </w:rPr>
              <w:t>The regular change in patterns can be represented using tools and tables.</w:t>
            </w:r>
          </w:p>
        </w:tc>
        <w:tc>
          <w:tcPr>
            <w:tcW w:w="1670" w:type="dxa"/>
          </w:tcPr>
          <w:p w:rsidR="0018190F" w:rsidRDefault="002229FB">
            <w:r w:rsidRPr="002229FB">
              <w:lastRenderedPageBreak/>
              <w:t xml:space="preserve">We use patterns to represent identified regularities and to form </w:t>
            </w:r>
            <w:r w:rsidRPr="002229FB">
              <w:lastRenderedPageBreak/>
              <w:t xml:space="preserve">generalizations: </w:t>
            </w:r>
            <w:r w:rsidRPr="002229FB">
              <w:rPr>
                <w:b/>
              </w:rPr>
              <w:t>Number patterns can be expressed using variables in tables.</w:t>
            </w:r>
          </w:p>
        </w:tc>
        <w:tc>
          <w:tcPr>
            <w:tcW w:w="1531" w:type="dxa"/>
          </w:tcPr>
          <w:p w:rsidR="0018190F" w:rsidRDefault="005401BB">
            <w:r w:rsidRPr="005401BB">
              <w:lastRenderedPageBreak/>
              <w:t>Patterns allow us to see relationships and develop generalizations.</w:t>
            </w:r>
          </w:p>
        </w:tc>
        <w:tc>
          <w:tcPr>
            <w:tcW w:w="1809" w:type="dxa"/>
          </w:tcPr>
          <w:p w:rsidR="0018190F" w:rsidRDefault="005401BB" w:rsidP="000343B9">
            <w:r w:rsidRPr="005401BB">
              <w:t>Patterns allow us to see relationships and develop generalizations.</w:t>
            </w:r>
          </w:p>
        </w:tc>
      </w:tr>
      <w:tr w:rsidR="00E1449D" w:rsidTr="000343B9">
        <w:tc>
          <w:tcPr>
            <w:tcW w:w="1408" w:type="dxa"/>
          </w:tcPr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5401BB">
            <w:r>
              <w:t>Geometry</w:t>
            </w:r>
            <w:r w:rsidR="008A6A1A">
              <w:t xml:space="preserve"> &amp;</w:t>
            </w:r>
          </w:p>
          <w:p w:rsidR="008A6A1A" w:rsidRDefault="008A6A1A">
            <w:r>
              <w:t>Measurement</w:t>
            </w:r>
          </w:p>
          <w:p w:rsidR="0018190F" w:rsidRDefault="0018190F"/>
          <w:p w:rsidR="0018190F" w:rsidRDefault="0018190F"/>
          <w:p w:rsidR="0018190F" w:rsidRDefault="0018190F"/>
        </w:tc>
        <w:tc>
          <w:tcPr>
            <w:tcW w:w="1666" w:type="dxa"/>
          </w:tcPr>
          <w:p w:rsidR="0018190F" w:rsidRDefault="006829F3">
            <w:r w:rsidRPr="006829F3">
              <w:t xml:space="preserve">We can describe, measure, and compare spatial relationships: </w:t>
            </w:r>
            <w:r w:rsidRPr="0033533B">
              <w:rPr>
                <w:b/>
              </w:rPr>
              <w:t>Objects have attributes.</w:t>
            </w:r>
          </w:p>
        </w:tc>
        <w:tc>
          <w:tcPr>
            <w:tcW w:w="1791" w:type="dxa"/>
          </w:tcPr>
          <w:p w:rsidR="0018190F" w:rsidRDefault="000343B9">
            <w:r w:rsidRPr="000343B9">
              <w:t xml:space="preserve">We can describe, measure, and compare spatial relationships: </w:t>
            </w:r>
            <w:r w:rsidRPr="0033533B">
              <w:rPr>
                <w:b/>
              </w:rPr>
              <w:t>Objects and shapes have attributes.</w:t>
            </w:r>
          </w:p>
        </w:tc>
        <w:tc>
          <w:tcPr>
            <w:tcW w:w="1670" w:type="dxa"/>
          </w:tcPr>
          <w:p w:rsidR="0018190F" w:rsidRDefault="00BA1686">
            <w:r w:rsidRPr="00BA1686">
              <w:t xml:space="preserve">We can describe, measure, and compare spatial relationships: </w:t>
            </w:r>
            <w:r w:rsidRPr="0033533B">
              <w:rPr>
                <w:b/>
              </w:rPr>
              <w:t>Objects and shapes have attributes.</w:t>
            </w:r>
          </w:p>
        </w:tc>
        <w:tc>
          <w:tcPr>
            <w:tcW w:w="1670" w:type="dxa"/>
          </w:tcPr>
          <w:p w:rsidR="0018190F" w:rsidRDefault="00BA1686">
            <w:r w:rsidRPr="00BA1686">
              <w:t xml:space="preserve">We can describe, measure, and compare spatial relationships: </w:t>
            </w:r>
            <w:r w:rsidRPr="0033533B">
              <w:rPr>
                <w:b/>
              </w:rPr>
              <w:t>Standard units are used to measure attributes of objects shapes.</w:t>
            </w:r>
          </w:p>
        </w:tc>
        <w:tc>
          <w:tcPr>
            <w:tcW w:w="1670" w:type="dxa"/>
          </w:tcPr>
          <w:p w:rsidR="0018190F" w:rsidRDefault="0033533B">
            <w:r w:rsidRPr="0033533B">
              <w:t xml:space="preserve">We can describe, measure, and compare spatial relationships: </w:t>
            </w:r>
            <w:r w:rsidRPr="0033533B">
              <w:rPr>
                <w:b/>
              </w:rPr>
              <w:t>Polygons are closed shapes with similar attributes.</w:t>
            </w:r>
          </w:p>
        </w:tc>
        <w:tc>
          <w:tcPr>
            <w:tcW w:w="1670" w:type="dxa"/>
          </w:tcPr>
          <w:p w:rsidR="0018190F" w:rsidRPr="005401BB" w:rsidRDefault="005401BB">
            <w:pPr>
              <w:rPr>
                <w:b/>
              </w:rPr>
            </w:pPr>
            <w:r w:rsidRPr="005401BB">
              <w:t xml:space="preserve">We can describe, measure, and compare spatial relationships: </w:t>
            </w:r>
            <w:r w:rsidRPr="005401BB">
              <w:rPr>
                <w:b/>
              </w:rPr>
              <w:t>Closed shapes have area and perimeter.</w:t>
            </w:r>
          </w:p>
        </w:tc>
        <w:tc>
          <w:tcPr>
            <w:tcW w:w="1531" w:type="dxa"/>
          </w:tcPr>
          <w:p w:rsidR="0018190F" w:rsidRDefault="005401BB">
            <w:r w:rsidRPr="005401BB">
              <w:t>Geometry and measurement empower us to make meaning of the world.</w:t>
            </w:r>
          </w:p>
        </w:tc>
        <w:tc>
          <w:tcPr>
            <w:tcW w:w="1809" w:type="dxa"/>
          </w:tcPr>
          <w:p w:rsidR="006829F3" w:rsidRDefault="005401BB" w:rsidP="000343B9">
            <w:r w:rsidRPr="005401BB">
              <w:t>Geometry and measurement empower us to make meaning of the world.</w:t>
            </w:r>
          </w:p>
        </w:tc>
      </w:tr>
      <w:tr w:rsidR="00E1449D" w:rsidTr="005401BB">
        <w:tc>
          <w:tcPr>
            <w:tcW w:w="1408" w:type="dxa"/>
            <w:vAlign w:val="center"/>
          </w:tcPr>
          <w:p w:rsidR="006829F3" w:rsidRDefault="00E1449D" w:rsidP="005401BB">
            <w:pPr>
              <w:jc w:val="center"/>
            </w:pPr>
            <w:r>
              <w:t>Analyzing and interpreting d</w:t>
            </w:r>
            <w:r w:rsidR="005401BB">
              <w:t>ata</w:t>
            </w:r>
          </w:p>
        </w:tc>
        <w:tc>
          <w:tcPr>
            <w:tcW w:w="1666" w:type="dxa"/>
          </w:tcPr>
          <w:p w:rsidR="006829F3" w:rsidRPr="006829F3" w:rsidRDefault="006829F3">
            <w:r w:rsidRPr="006829F3">
              <w:t xml:space="preserve">Analyzing data and chance help us to compare and interpret: </w:t>
            </w:r>
            <w:r w:rsidRPr="0033533B">
              <w:rPr>
                <w:b/>
              </w:rPr>
              <w:t>Familiar events can be described as likely or unlikely.</w:t>
            </w:r>
          </w:p>
        </w:tc>
        <w:tc>
          <w:tcPr>
            <w:tcW w:w="1791" w:type="dxa"/>
          </w:tcPr>
          <w:p w:rsidR="006829F3" w:rsidRDefault="000343B9">
            <w:r w:rsidRPr="000343B9">
              <w:t xml:space="preserve">Analyzing data and chance help us to compare and interpret: </w:t>
            </w:r>
            <w:r w:rsidRPr="0033533B">
              <w:rPr>
                <w:b/>
              </w:rPr>
              <w:t>Concrete graphs show one-to-one correspondence</w:t>
            </w:r>
            <w:r w:rsidRPr="000343B9">
              <w:t>.</w:t>
            </w:r>
          </w:p>
        </w:tc>
        <w:tc>
          <w:tcPr>
            <w:tcW w:w="1670" w:type="dxa"/>
          </w:tcPr>
          <w:p w:rsidR="006829F3" w:rsidRDefault="00BA1686">
            <w:r w:rsidRPr="00BA1686">
              <w:t xml:space="preserve">Analyzing data and chance help us to compare and interpret: </w:t>
            </w:r>
            <w:r w:rsidRPr="0033533B">
              <w:rPr>
                <w:b/>
              </w:rPr>
              <w:t>Concrete items can be represented pictorially in a graph.</w:t>
            </w:r>
          </w:p>
        </w:tc>
        <w:tc>
          <w:tcPr>
            <w:tcW w:w="1670" w:type="dxa"/>
          </w:tcPr>
          <w:p w:rsidR="006829F3" w:rsidRDefault="00BA1686">
            <w:r w:rsidRPr="00BA1686">
              <w:t xml:space="preserve">Analyzing data and chance help us to compare and interpret: </w:t>
            </w:r>
            <w:r w:rsidRPr="0033533B">
              <w:rPr>
                <w:b/>
              </w:rPr>
              <w:t>The likelihood of possible outcomes can be examined.</w:t>
            </w:r>
          </w:p>
        </w:tc>
        <w:tc>
          <w:tcPr>
            <w:tcW w:w="1670" w:type="dxa"/>
          </w:tcPr>
          <w:p w:rsidR="006829F3" w:rsidRDefault="0033533B">
            <w:r w:rsidRPr="0033533B">
              <w:t xml:space="preserve">Analyzing data and chance help us to compare and interpret: </w:t>
            </w:r>
            <w:r w:rsidRPr="0033533B">
              <w:rPr>
                <w:b/>
              </w:rPr>
              <w:t>Probability experiments develop an understanding of chance.</w:t>
            </w:r>
          </w:p>
        </w:tc>
        <w:tc>
          <w:tcPr>
            <w:tcW w:w="1670" w:type="dxa"/>
          </w:tcPr>
          <w:p w:rsidR="006829F3" w:rsidRDefault="005401BB">
            <w:r w:rsidRPr="005401BB">
              <w:t xml:space="preserve">Analyzing data and chance help us to compare and interpret: </w:t>
            </w:r>
            <w:r w:rsidRPr="005401BB">
              <w:rPr>
                <w:b/>
              </w:rPr>
              <w:t>Graphs can be used to show many-to-one correspondence.</w:t>
            </w:r>
          </w:p>
        </w:tc>
        <w:tc>
          <w:tcPr>
            <w:tcW w:w="1531" w:type="dxa"/>
          </w:tcPr>
          <w:p w:rsidR="006829F3" w:rsidRDefault="005401BB">
            <w:r w:rsidRPr="005401BB">
              <w:t>We can apply mathematics to inquiry questions and use it to communicate information and data.</w:t>
            </w:r>
          </w:p>
          <w:p w:rsidR="005401BB" w:rsidRPr="005401BB" w:rsidRDefault="005401BB" w:rsidP="005401BB">
            <w:pPr>
              <w:jc w:val="center"/>
              <w:rPr>
                <w:b/>
              </w:rPr>
            </w:pPr>
            <w:r w:rsidRPr="005401BB">
              <w:rPr>
                <w:b/>
              </w:rPr>
              <w:t>AND</w:t>
            </w:r>
          </w:p>
          <w:p w:rsidR="005401BB" w:rsidRDefault="005401BB" w:rsidP="005401BB">
            <w:r w:rsidRPr="005401BB">
              <w:t xml:space="preserve">Data enable us to draw conclusions and make predictions in an unstable </w:t>
            </w:r>
            <w:r w:rsidRPr="005401BB">
              <w:lastRenderedPageBreak/>
              <w:t>world.</w:t>
            </w:r>
          </w:p>
        </w:tc>
        <w:tc>
          <w:tcPr>
            <w:tcW w:w="1809" w:type="dxa"/>
          </w:tcPr>
          <w:p w:rsidR="006829F3" w:rsidRDefault="005401BB" w:rsidP="000343B9">
            <w:r w:rsidRPr="005401BB">
              <w:lastRenderedPageBreak/>
              <w:t>We can apply mathematics to inquiry questions and use it to communicate information and data.</w:t>
            </w:r>
          </w:p>
          <w:p w:rsidR="00190A00" w:rsidRPr="00190A00" w:rsidRDefault="00190A00" w:rsidP="00190A00">
            <w:pPr>
              <w:jc w:val="center"/>
              <w:rPr>
                <w:b/>
              </w:rPr>
            </w:pPr>
            <w:r w:rsidRPr="00190A00">
              <w:rPr>
                <w:b/>
              </w:rPr>
              <w:t>AND</w:t>
            </w:r>
          </w:p>
          <w:p w:rsidR="00190A00" w:rsidRDefault="00190A00" w:rsidP="00190A00">
            <w:r w:rsidRPr="00190A00">
              <w:t xml:space="preserve">Data enable us to draw conclusions and make predictions in an unstable </w:t>
            </w:r>
            <w:r w:rsidRPr="00190A00">
              <w:lastRenderedPageBreak/>
              <w:t>world.</w:t>
            </w:r>
          </w:p>
        </w:tc>
      </w:tr>
    </w:tbl>
    <w:p w:rsidR="008B3149" w:rsidRDefault="008B3149"/>
    <w:sectPr w:rsidR="008B3149" w:rsidSect="001819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90F"/>
    <w:rsid w:val="000343B9"/>
    <w:rsid w:val="0018190F"/>
    <w:rsid w:val="00190A00"/>
    <w:rsid w:val="00193995"/>
    <w:rsid w:val="002229FB"/>
    <w:rsid w:val="00254DF6"/>
    <w:rsid w:val="0028334E"/>
    <w:rsid w:val="0033533B"/>
    <w:rsid w:val="004E0A86"/>
    <w:rsid w:val="005401BB"/>
    <w:rsid w:val="006829F3"/>
    <w:rsid w:val="008A6A1A"/>
    <w:rsid w:val="008B3149"/>
    <w:rsid w:val="00985580"/>
    <w:rsid w:val="00BA1686"/>
    <w:rsid w:val="00D361C3"/>
    <w:rsid w:val="00E02B8E"/>
    <w:rsid w:val="00E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2D6FB77D.dotm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Sturt</cp:lastModifiedBy>
  <cp:revision>2</cp:revision>
  <cp:lastPrinted>2016-02-26T22:42:00Z</cp:lastPrinted>
  <dcterms:created xsi:type="dcterms:W3CDTF">2016-02-26T22:43:00Z</dcterms:created>
  <dcterms:modified xsi:type="dcterms:W3CDTF">2016-02-26T22:43:00Z</dcterms:modified>
</cp:coreProperties>
</file>